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399"/>
        <w:rPr>
          <w:rFonts w:ascii="方正小标宋简体" w:hAnsi="Times New Roman" w:eastAsia="方正小标宋简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2</w:t>
      </w:r>
    </w:p>
    <w:p>
      <w:pPr>
        <w:pStyle w:val="2"/>
        <w:spacing w:line="560" w:lineRule="exact"/>
        <w:ind w:left="0" w:right="399"/>
        <w:jc w:val="center"/>
        <w:rPr>
          <w:rFonts w:hint="eastAsia" w:ascii="方正小标宋简体" w:hAnsi="Times New Roman" w:eastAsia="方正小标宋简体" w:cs="仿宋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2</w:t>
      </w:r>
      <w:r>
        <w:rPr>
          <w:rFonts w:ascii="方正小标宋简体" w:hAnsi="Times New Roman" w:eastAsia="方正小标宋简体" w:cs="仿宋"/>
          <w:bCs/>
          <w:sz w:val="36"/>
          <w:szCs w:val="36"/>
        </w:rPr>
        <w:t>022</w:t>
      </w: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年度上海高校辅导员专题培训课程安排</w:t>
      </w:r>
    </w:p>
    <w:p>
      <w:pPr>
        <w:pStyle w:val="2"/>
        <w:spacing w:line="560" w:lineRule="exact"/>
        <w:ind w:left="0"/>
        <w:jc w:val="center"/>
        <w:rPr>
          <w:rFonts w:hint="eastAsia" w:ascii="楷体_GB2312" w:hAnsi="Times New Roman" w:eastAsia="楷体_GB2312" w:cs="华文中宋"/>
          <w:bCs/>
          <w:sz w:val="30"/>
          <w:szCs w:val="30"/>
        </w:rPr>
      </w:pPr>
      <w:r>
        <w:rPr>
          <w:rFonts w:hint="eastAsia" w:ascii="楷体_GB2312" w:hAnsi="Times New Roman" w:eastAsia="楷体_GB2312" w:cs="华文中宋"/>
          <w:bCs/>
          <w:sz w:val="30"/>
          <w:szCs w:val="30"/>
        </w:rPr>
        <w:t>（网络思政工作与网络素养教育专题）</w:t>
      </w:r>
    </w:p>
    <w:tbl>
      <w:tblPr>
        <w:tblStyle w:val="3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15"/>
        <w:gridCol w:w="770"/>
        <w:gridCol w:w="2464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日期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时间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板块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课程内容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拟聘专家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日（周二）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上午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报到、入住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3:30-14:00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专题讲座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讲座：国际视野下的意识形态博弈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高德毅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：上海华侨民族宗教事务委员会、外事委员会主任委员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日（周三）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08:30-10:00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经验分享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21万关注的学术型公众号诞生记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赵吉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：上海交通大学国际与公共事务学院助理教授，“政治学人”微信公众号创办人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12:00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经验分享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如何贴近学生生活，创作学生喜闻乐见的视频作品？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陈超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B站UP主，7.9万粉，上海交通大学国际与公共事务学院副教授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专题讲座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今日青年需要什么样的价值观？——兼谈青年学生思想引导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范勇鹏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：复旦大学中国研究院副院长、研究员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学员研讨</w:t>
            </w:r>
          </w:p>
        </w:tc>
        <w:tc>
          <w:tcPr>
            <w:tcW w:w="58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班会（学员交流）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日（周四）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08:30-11:30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专题讲座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党的二十大会议精神解读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陈华栋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：上海交通大学出版社有限公司总编辑、马克思主义学院教授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14:00-16:00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专题讲座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网络热点与青年认知发展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闫方洁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：华东师范大学马克思主义学院教授、公众号“E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CNU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闫知有理”创办人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18:00-21:00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专题讲座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Z世代网络原住民特点与网络思政教育工作策略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黄时进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：华东理工大学马克思主义院教授、科技与社会研究所所长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日（周五）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08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行业洞察</w:t>
            </w:r>
          </w:p>
        </w:tc>
        <w:tc>
          <w:tcPr>
            <w:tcW w:w="2464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Z世代崛起与“视频化”浪潮释放新媒体新动能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  <w:szCs w:val="24"/>
              </w:rPr>
              <w:t>卢雅君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：哔哩哔哩公共事务部总监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4"/>
                <w:szCs w:val="24"/>
              </w:rPr>
              <w:t>12:00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4"/>
                <w:szCs w:val="24"/>
              </w:rPr>
              <w:t>结业仪式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52CF20B9"/>
    <w:rsid w:val="52C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643</Characters>
  <Lines>0</Lines>
  <Paragraphs>0</Paragraphs>
  <TotalTime>1</TotalTime>
  <ScaleCrop>false</ScaleCrop>
  <LinksUpToDate>false</LinksUpToDate>
  <CharactersWithSpaces>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2022-11-20T06:07:00Z</dcterms:created>
  <dc:creator>WPS_1604278332</dc:creator>
  <cp:lastModifiedBy>WPS_1604278332</cp:lastModifiedBy>
  <dcterms:modified xsi:type="dcterms:W3CDTF">2022-11-20T06:08:38Z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5B1C0DEF35D943A494B0746F7039B355</vt:lpwstr>
  </property>
</Properties>
</file>